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rPr>
      </w:pPr>
      <w:r>
        <w:rPr>
          <w:rFonts w:ascii="Montserrat Regular" w:hAnsi="Montserrat Regular"/>
          <w:rtl w:val="0"/>
          <w:lang w:val="en-US"/>
        </w:rPr>
        <w:t xml:space="preserve">UTAH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UTAH</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Utah.</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 </w:t>
      </w:r>
      <w:r>
        <w:rPr>
          <w:rtl w:val="0"/>
          <w:lang w:val="en-US"/>
        </w:rPr>
        <w:t>for all rental units in Utah.</w:t>
      </w:r>
    </w:p>
    <w:p>
      <w:pPr>
        <w:pStyle w:val="List Paragraph"/>
        <w:widowControl w:val="1"/>
        <w:numPr>
          <w:ilvl w:val="0"/>
          <w:numId w:val="14"/>
        </w:numPr>
        <w:bidi w:val="0"/>
        <w:spacing w:line="276" w:lineRule="auto"/>
        <w:ind w:right="0"/>
        <w:jc w:val="left"/>
        <w:rPr>
          <w:rtl w:val="0"/>
          <w:lang w:val="en-US"/>
        </w:rPr>
      </w:pPr>
      <w:r>
        <w:rPr>
          <w:rtl w:val="0"/>
          <w:lang w:val="en-US"/>
        </w:rPr>
        <w:t xml:space="preserve">Methamphetamine Contamination Disclosure - </w:t>
      </w:r>
      <w:r>
        <w:rPr>
          <w:rtl w:val="0"/>
          <w:lang w:val="en-US"/>
        </w:rPr>
        <w:t xml:space="preserve">for rental units where the landlord has knowledge of methamphetamine contamination. </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rPr>
          <w:sz w:val="28"/>
          <w:szCs w:val="28"/>
        </w:rPr>
      </w:pPr>
      <w:r>
        <w:rPr>
          <w:sz w:val="28"/>
          <w:szCs w:val="28"/>
          <w:rtl w:val="0"/>
          <w:lang w:val="en-US"/>
        </w:rPr>
        <w:t>UTAH MOVE-IN CHECKLIST</w:t>
      </w:r>
    </w:p>
    <w:p>
      <w:pPr>
        <w:pStyle w:val="Normal.0"/>
        <w:jc w:val="cente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DISCLOSURE OF INFORMATION ON</w:t>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METHAMPHETAMINE CONTAMINATION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above safe levels and is in the process of decontamination.</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but falls within safe levels after tests were conducted.</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Has no suspicion of contamination.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jc w:val="center"/>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