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rPr>
      </w:pPr>
      <w:r>
        <w:rPr>
          <w:rFonts w:ascii="Montserrat Regular" w:hAnsi="Montserrat Regular"/>
          <w:sz w:val="28"/>
          <w:szCs w:val="28"/>
          <w:rtl w:val="0"/>
          <w:lang w:val="en-US"/>
        </w:rPr>
        <w:t>WISCONSIN RESIDENTIAL LEASE AGREEMENT</w:t>
      </w:r>
    </w:p>
    <w:p>
      <w:pPr>
        <w:pStyle w:val="Normal.0"/>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THIS LEASE AGREEMENT hereinafter known as the "Lease"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PROPERTY.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lang w:val="en-US"/>
          <w14:textOutline>
            <w14:noFill/>
          </w14:textOutline>
        </w:rPr>
      </w:pPr>
      <w:r>
        <w:rPr>
          <w:rFonts w:ascii="Montserrat Regular" w:hAnsi="Montserrat Regular"/>
          <w:sz w:val="22"/>
          <w:szCs w:val="22"/>
          <w:rtl w:val="0"/>
          <w:lang w:val="en-US"/>
          <w14:textOutline>
            <w14:noFill/>
          </w14:textOutline>
        </w:rPr>
        <w:t>LEASE TERM.</w:t>
      </w:r>
      <w:r>
        <w:rPr>
          <w:rFonts w:ascii="Montserrat Regular" w:hAnsi="Montserrat Regular"/>
          <w:sz w:val="22"/>
          <w:szCs w:val="22"/>
          <w:rtl w:val="0"/>
          <w:lang w:val="en-US"/>
          <w14:textOutline>
            <w14:noFill/>
          </w14:textOutline>
        </w:rPr>
        <w:t xml:space="preserve"> This Lease shall commence on ____ day of _______________________,  20____, and end on ____ day of _______________________,  20____ (hereinafter referred to as the </w:t>
      </w:r>
      <w:r>
        <w:rPr>
          <w:rFonts w:ascii="Montserrat Regular" w:hAnsi="Montserrat Regular" w:hint="default"/>
          <w:sz w:val="22"/>
          <w:szCs w:val="22"/>
          <w:rtl w:val="0"/>
          <w:lang w:val="en-US"/>
          <w14:textOutline>
            <w14:noFill/>
          </w14:textOutline>
        </w:rPr>
        <w:t>“</w:t>
      </w:r>
      <w:r>
        <w:rPr>
          <w:rFonts w:ascii="Montserrat Regular" w:hAnsi="Montserrat Regular"/>
          <w:sz w:val="22"/>
          <w:szCs w:val="22"/>
          <w:rtl w:val="0"/>
          <w:lang w:val="en-US"/>
          <w14:textOutline>
            <w14:noFill/>
          </w14:textOutline>
        </w:rPr>
        <w:t>Term</w:t>
      </w:r>
      <w:r>
        <w:rPr>
          <w:rFonts w:ascii="Montserrat Regular" w:hAnsi="Montserrat Regular" w:hint="default"/>
          <w:sz w:val="22"/>
          <w:szCs w:val="22"/>
          <w:rtl w:val="0"/>
          <w:lang w:val="en-US"/>
          <w14:textOutline>
            <w14:noFill/>
          </w14:textOutline>
        </w:rPr>
        <w:t>”</w:t>
      </w:r>
      <w:r>
        <w:rPr>
          <w:rFonts w:ascii="Montserrat Regular" w:hAnsi="Montserrat Regular"/>
          <w:sz w:val="22"/>
          <w:szCs w:val="22"/>
          <w:rtl w:val="0"/>
          <w:lang w:val="en-US"/>
          <w14:textOutline>
            <w14:noFill/>
          </w14:textOutline>
        </w:rPr>
        <w:t xml:space="preserve">), unless otherwise terminated in accordance with the provisions of the Lease. Upon the end of the Term, Tenant shall vacate the Property and deliver the same to the Landlord unless: </w:t>
      </w:r>
    </w:p>
    <w:p>
      <w:pPr>
        <w:pStyle w:val="Normal.0"/>
        <w:numPr>
          <w:ilvl w:val="0"/>
          <w:numId w:val="2"/>
        </w:numPr>
        <w:bidi w:val="0"/>
        <w:ind w:right="0"/>
        <w:jc w:val="left"/>
        <w:rPr>
          <w:rFonts w:ascii="Montserrat Regular" w:hAnsi="Montserrat Regular"/>
          <w:sz w:val="22"/>
          <w:szCs w:val="22"/>
          <w:rtl w:val="0"/>
          <w:lang w:val="en-US"/>
          <w14:textOutline>
            <w14:noFill/>
          </w14:textOutline>
        </w:rPr>
      </w:pPr>
      <w:r>
        <w:rPr>
          <w:rFonts w:ascii="Montserrat Regular" w:hAnsi="Montserrat Regular"/>
          <w:sz w:val="22"/>
          <w:szCs w:val="22"/>
          <w:rtl w:val="0"/>
          <w:lang w:val="en-US"/>
          <w14:textOutline>
            <w14:noFill/>
          </w14:textOutline>
        </w:rPr>
        <w:t xml:space="preserve">the Lease is formally extended by the Landlord and the Tenant in a writing signed by both parties; or </w:t>
      </w:r>
    </w:p>
    <w:p>
      <w:pPr>
        <w:pStyle w:val="Normal.0"/>
        <w:numPr>
          <w:ilvl w:val="0"/>
          <w:numId w:val="2"/>
        </w:numPr>
        <w:bidi w:val="0"/>
        <w:ind w:right="0"/>
        <w:jc w:val="left"/>
        <w:rPr>
          <w:rFonts w:ascii="Montserrat Regular" w:hAnsi="Montserrat Regular"/>
          <w:sz w:val="22"/>
          <w:szCs w:val="22"/>
          <w:rtl w:val="0"/>
          <w:lang w:val="en-US"/>
          <w14:textOutline>
            <w14:noFill/>
          </w14:textOutline>
        </w:rPr>
      </w:pPr>
      <w:r>
        <w:rPr>
          <w:rFonts w:ascii="Montserrat Regular" w:hAnsi="Montserrat Regular"/>
          <w:sz w:val="22"/>
          <w:szCs w:val="22"/>
          <w:rtl w:val="0"/>
          <w:lang w:val="en-US"/>
          <w14:textOutline>
            <w14:noFill/>
          </w14:textOutline>
        </w:rPr>
        <w:t>the Landlord willingly accepts Rent from the tenant for a period beyond the original Term. Where the landlord accepts Rent for a period beyond the original Term, without a formal extension agreed to in writing by both parties, a month-to-month tenancy will be created.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RENT.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Late Rent.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Returned Checks. In the event that a check intended as payment for Rent is dishonoured for whatever reason, the same shall be considered as Late Rent with the late fee being payable on the same.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Application of payments.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Rent Increases.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SECURITY DEPOSIT.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 Upon the termination of the Lease, the Landlord may deduct the following from the Security Deposit:</w:t>
      </w:r>
    </w:p>
    <w:p>
      <w:pPr>
        <w:pStyle w:val="Normal.0"/>
        <w:numPr>
          <w:ilvl w:val="1"/>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9"/>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Return.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ASSIGNMENT.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Subletting Not Allowed.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Subletting Allowed.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ALTERATIONS AND IMPROVEMENTS. No alterations to or improvements on the Property shall be made by the Tenant without prior express consent of the Landlord to the same in writing. </w:t>
      </w:r>
    </w:p>
    <w:p>
      <w:pPr>
        <w:pStyle w:val="Normal.0"/>
        <w:numPr>
          <w:ilvl w:val="0"/>
          <w:numId w:val="11"/>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11"/>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Ownership of Alterations and Improvements. 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MAINTENANCE, REPAIR, AND RULES. 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3"/>
        </w:numPr>
        <w:bidi w:val="0"/>
        <w:spacing w:before="2" w:line="247" w:lineRule="auto"/>
        <w:ind w:right="558"/>
        <w:jc w:val="left"/>
        <w:rPr>
          <w:rtl w:val="0"/>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3"/>
        </w:numPr>
        <w:bidi w:val="0"/>
        <w:spacing w:before="2" w:line="247" w:lineRule="auto"/>
        <w:ind w:right="558"/>
        <w:jc w:val="left"/>
        <w:rPr>
          <w:rtl w:val="0"/>
          <w:lang w:val="en-US"/>
        </w:rPr>
      </w:pPr>
      <w:r>
        <w:rPr>
          <w:rtl w:val="0"/>
          <w:lang w:val="en-US"/>
        </w:rPr>
        <w:t>Dispose of any and all waste properly.</w:t>
      </w:r>
    </w:p>
    <w:p>
      <w:pPr>
        <w:pStyle w:val="List Paragraph"/>
        <w:numPr>
          <w:ilvl w:val="0"/>
          <w:numId w:val="13"/>
        </w:numPr>
        <w:bidi w:val="0"/>
        <w:spacing w:before="2" w:line="247" w:lineRule="auto"/>
        <w:ind w:right="558"/>
        <w:jc w:val="left"/>
        <w:rPr>
          <w:rtl w:val="0"/>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4"/>
        </w:numPr>
        <w:bidi w:val="0"/>
        <w:spacing w:before="4" w:line="242" w:lineRule="auto"/>
        <w:ind w:right="556"/>
        <w:jc w:val="left"/>
        <w:rPr>
          <w:rtl w:val="0"/>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3"/>
        </w:numPr>
        <w:bidi w:val="0"/>
        <w:spacing w:before="1" w:line="242" w:lineRule="auto"/>
        <w:ind w:right="158"/>
        <w:jc w:val="left"/>
        <w:rPr>
          <w:rtl w:val="0"/>
          <w:lang w:val="en-US"/>
        </w:rPr>
      </w:pPr>
      <w:r>
        <w:rPr>
          <w:rtl w:val="0"/>
          <w:lang w:val="en-US"/>
        </w:rPr>
        <w:t>Obtain consent of the Landlord prior to replacing or installing new deadbolts, locks, hooks, doorknobs and the like</w:t>
      </w:r>
    </w:p>
    <w:p>
      <w:pPr>
        <w:pStyle w:val="List Paragraph"/>
        <w:numPr>
          <w:ilvl w:val="0"/>
          <w:numId w:val="13"/>
        </w:numPr>
        <w:bidi w:val="0"/>
        <w:spacing w:before="1" w:line="242" w:lineRule="auto"/>
        <w:ind w:right="158"/>
        <w:jc w:val="left"/>
        <w:rPr>
          <w:rtl w:val="0"/>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PETS.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Pets Allowed.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Pets Not Allowed. 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QUIET ENJOYMENT.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DEFAULT.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SEVERABILITY.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TO INSPECTION AND PRE-EXISTING DAMAGES. Tenant(s) possesses a right to inspect the premises for defects within 7 days of lease commencement. Tenant(s) may also request a receipt of the previous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security deposit charges and their status upon the commencement of the new lease.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 OF DOMESTIC ABUSE PROTECTIONS. As provided in section 106.50 (5m) (dm) of the Wisconsin statutes, a tenant has a defense to an eviction action if the tenant can prove that the landlord knew, or should have known, the tenant is a victim of domestic abuse, sexual assault, or stalking and that the eviction action is based on conduct related to domestic abuse, sexual assault, or stalking committed by either of the following: (a) A person who was not the tenant's invited guest. (b) A person who was the tenant's invited guest, but the tenant has done either of the following: 1. Sought an injunction barring the person from the premises. 2. Provided a written statement to the landlord stating that the person will no longer be an invited guest of the tenant and the tenant has not subsequently invited the person to be the tenant's guest. A tenant who is a victim of domestic abuse, sexual assault, or stalking may have the right to terminate the rental agreement in certain limited situations, as provided in section 704.16 of the Wisconsin statutes. If the tenant has safety concerns, the tenant should contact a local victim service provider or law enforcement agency. A tenant is advised that this notice is only a summary of the tenant's rights and the specific language of the statutes governs in all instances.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EARLY TERMINATION. 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LEAD-BASED PAINT DISCLOSURE.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ENTIRE AGREEMENT.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14:textFill>
            <w14:solidFill>
              <w14:srgbClr w14:val="434343"/>
            </w14:solidFill>
          </w14:textFill>
        </w:rPr>
      </w:pPr>
      <w:r>
        <w:rPr>
          <w:rFonts w:ascii="Montserrat Regular" w:hAnsi="Montserrat Regular"/>
          <w:sz w:val="28"/>
          <w:szCs w:val="28"/>
          <w:rtl w:val="0"/>
          <w:lang w:val="en-US"/>
        </w:rPr>
        <w:t>ADDENDUMS IN WISCONSIN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disclosures or addendums are either required for some or all residential lease agreements in Wisconsin.</w:t>
      </w:r>
    </w:p>
    <w:p>
      <w:pPr>
        <w:pStyle w:val="Normal.0"/>
        <w:rPr>
          <w:rFonts w:ascii="Montserrat Regular" w:cs="Montserrat Regular" w:hAnsi="Montserrat Regular" w:eastAsia="Montserrat Regular"/>
          <w:sz w:val="22"/>
          <w:szCs w:val="22"/>
        </w:rPr>
      </w:pPr>
    </w:p>
    <w:p>
      <w:pPr>
        <w:pStyle w:val="List Paragraph"/>
        <w:widowControl w:val="1"/>
        <w:numPr>
          <w:ilvl w:val="0"/>
          <w:numId w:val="16"/>
        </w:numPr>
        <w:bidi w:val="0"/>
        <w:spacing w:line="276" w:lineRule="auto"/>
        <w:ind w:right="0"/>
        <w:jc w:val="left"/>
        <w:rPr>
          <w:rtl w:val="0"/>
          <w:lang w:val="en-US"/>
        </w:rPr>
      </w:pPr>
      <w:r>
        <w:rPr>
          <w:rtl w:val="0"/>
          <w:lang w:val="en-US"/>
        </w:rPr>
        <w:t>Shared Utility Arrangements -  for any building with shared utility meters or submetering.</w:t>
      </w:r>
    </w:p>
    <w:p>
      <w:pPr>
        <w:pStyle w:val="List Paragraph"/>
        <w:widowControl w:val="1"/>
        <w:numPr>
          <w:ilvl w:val="0"/>
          <w:numId w:val="16"/>
        </w:numPr>
        <w:bidi w:val="0"/>
        <w:spacing w:line="276" w:lineRule="auto"/>
        <w:ind w:right="0"/>
        <w:jc w:val="left"/>
        <w:rPr>
          <w:rtl w:val="0"/>
          <w:lang w:val="en-US"/>
        </w:rPr>
      </w:pPr>
      <w:r>
        <w:rPr>
          <w:rtl w:val="0"/>
          <w:lang w:val="en-US"/>
        </w:rPr>
        <w:t>Check-In Sheet - for all rental units in Wisconsin.</w:t>
      </w:r>
    </w:p>
    <w:p>
      <w:pPr>
        <w:pStyle w:val="List Paragraph"/>
        <w:widowControl w:val="1"/>
        <w:numPr>
          <w:ilvl w:val="0"/>
          <w:numId w:val="16"/>
        </w:numPr>
        <w:bidi w:val="0"/>
        <w:spacing w:line="276" w:lineRule="auto"/>
        <w:ind w:right="0"/>
        <w:jc w:val="left"/>
        <w:rPr>
          <w:rtl w:val="0"/>
          <w:lang w:val="en-US"/>
        </w:rPr>
      </w:pPr>
      <w:r>
        <w:rPr>
          <w:rtl w:val="0"/>
          <w:lang w:val="en-US"/>
        </w:rPr>
        <w:t xml:space="preserve">Lead Based Paint Disclosure - for rental units built prior to 1978. </w:t>
      </w: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jc w:val="center"/>
      </w:pPr>
      <w:r>
        <w:rPr>
          <w:rtl w:val="0"/>
          <w:lang w:val="en-US"/>
        </w:rPr>
        <w:t>DISCLOSURE OF SHARED UTILITIES ARRANGEMENTS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DISCLOSURE: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____ This rental unit shares the following utilities with another unit or common area: </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Electricity</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Water</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Gas</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Sewage</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Other: 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 This lease uses the following method for calculating utility charges between Tenant(s):</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Home Square Footage</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Number of Tenants</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Even Split Between Tenants</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Other:___________________________________________________________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____Tenant agrees to pay the monthly utility charge to Landlord, plus a $___________ service charge as part of each month</w:t>
      </w:r>
      <w:r>
        <w:rPr>
          <w:rFonts w:ascii="Montserrat Regular" w:hAnsi="Montserrat Regular" w:hint="default"/>
          <w:sz w:val="22"/>
          <w:szCs w:val="22"/>
          <w:rtl w:val="0"/>
          <w:lang w:val="en-US"/>
        </w:rPr>
        <w:t>’</w:t>
      </w:r>
      <w:r>
        <w:rPr>
          <w:rFonts w:ascii="Montserrat Regular" w:hAnsi="Montserrat Regular"/>
          <w:sz w:val="22"/>
          <w:szCs w:val="22"/>
          <w:rtl w:val="0"/>
          <w:lang w:val="en-US"/>
        </w:rPr>
        <w:t>s rental payment.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Date</w:t>
      </w:r>
    </w:p>
    <w:p>
      <w:pPr>
        <w:pStyle w:val="Normal.0"/>
        <w:jc w:val="center"/>
      </w:pPr>
      <w:r>
        <w:rPr>
          <w:rFonts w:ascii="Arial Unicode MS" w:cs="Arial Unicode MS" w:hAnsi="Arial Unicode MS" w:eastAsia="Arial Unicode MS"/>
          <w:b w:val="0"/>
          <w:bCs w:val="0"/>
          <w:i w:val="0"/>
          <w:iCs w:val="0"/>
          <w:sz w:val="22"/>
          <w:szCs w:val="22"/>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WISCONSIN MOVE-IN CHECKLIST</w:t>
      </w:r>
    </w:p>
    <w:p>
      <w:pPr>
        <w:pStyle w:val="Normal.0"/>
        <w:jc w:val="center"/>
        <w:rP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INVENTORY CHECKLIST FOR __________________________________________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name and address 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 deposited at 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Name(s) of the tenant(s) 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tbl>
      <w:tblPr>
        <w:tblW w:w="903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2610"/>
        <w:gridCol w:w="939"/>
        <w:gridCol w:w="2610"/>
      </w:tblGrid>
      <w:tr>
        <w:tblPrEx>
          <w:shd w:val="clear" w:color="auto" w:fill="ced7e7"/>
        </w:tblPrEx>
        <w:trPr>
          <w:trHeight w:val="86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rPr>
            </w:pPr>
            <w:r>
              <w:rPr>
                <w:rFonts w:ascii="Montserrat Regular" w:hAnsi="Montserrat Regular"/>
                <w:sz w:val="22"/>
                <w:szCs w:val="22"/>
                <w:shd w:val="nil" w:color="auto" w:fill="auto"/>
                <w:rtl w:val="0"/>
                <w:lang w:val="en-US"/>
              </w:rPr>
              <w:t xml:space="preserve">MOVE-IN </w:t>
            </w:r>
          </w:p>
          <w:p>
            <w:pPr>
              <w:pStyle w:val="Normal.0"/>
              <w:bidi w:val="0"/>
              <w:ind w:left="0" w:right="0" w:firstLine="0"/>
              <w:jc w:val="left"/>
              <w:rPr>
                <w:rtl w:val="0"/>
              </w:rPr>
            </w:pPr>
            <w:r>
              <w:rPr>
                <w:rFonts w:ascii="Montserrat Regular" w:hAnsi="Montserrat Regular"/>
                <w:sz w:val="22"/>
                <w:szCs w:val="22"/>
                <w:shd w:val="nil" w:color="auto" w:fill="auto"/>
                <w:rtl w:val="0"/>
                <w:lang w:val="en-US"/>
              </w:rPr>
              <w:t>Move-In Date:</w:t>
            </w: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MOVE-OUT </w:t>
            </w: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 xml:space="preserve">Move-Out Date: </w:t>
            </w: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KITCHEN</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Refrigerator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Range &amp; oven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Broiler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Range hood &amp; fan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Sink &amp; counter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Garbage disposal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Cabinets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Plumbing fixtures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9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DINING ROOM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Thermostat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9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LIVING ROOM</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Thermostat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TV cord &amp; adaptor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9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BATHROOM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Bathtub/shower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Sink &amp; counter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Medicine cabinet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Vent fan</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Ceramic tile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Toilet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9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BEDROOM NO. 1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9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BEDROOM NO. 2</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9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BASEMENT/STORAGE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Closets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Doors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HALLWAY(S)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Doors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9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STAIRWELL</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Floors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Railings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9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GARAGE/PARKING AREA</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Walls/ceiling</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87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DATE UTILITIES NOTIFIED</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Gas company</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Electric company</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Water &amp; sewer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NUMBER OF KEYS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ind w:left="108" w:hanging="108"/>
        <w:rPr>
          <w:rFonts w:ascii="Montserrat Regular" w:cs="Montserrat Regular" w:hAnsi="Montserrat Regular" w:eastAsia="Montserrat Regular"/>
          <w:sz w:val="22"/>
          <w:szCs w:val="22"/>
        </w:rPr>
      </w:pPr>
    </w:p>
    <w:p>
      <w:pPr>
        <w:pStyle w:val="Normal.0"/>
        <w:widowControl w:v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RECEIPT FOR INVENTORY CHECKLIST AND LEASE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acknowledges a copy of two Inventory checklists and a signed copy of the Lease for Premises located at _______________________________________________________ ____________________________________________________________________________________. If one completed Checklist is not returned to Landlord, the Landlord and Tenant agree that none of the real or personal property at the premises is damages or flawed in any way. </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__________________________________  </w:t>
        <w:tab/>
        <w:t>DATE ___________________</w:t>
      </w: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ITEMIZED LIST OF CHARGES</w:t>
      </w:r>
    </w:p>
    <w:p>
      <w:pPr>
        <w:pStyle w:val="Normal.0"/>
        <w:rPr>
          <w:rFonts w:ascii="Montserrat Regular" w:cs="Montserrat Regular" w:hAnsi="Montserrat Regular" w:eastAsia="Montserrat Regular"/>
          <w:sz w:val="22"/>
          <w:szCs w:val="22"/>
        </w:rPr>
      </w:pP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__________________________________ </w:t>
        <w:tab/>
        <w:t>DATE MAILED ________________________</w:t>
      </w: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FORWARDING ADDRESS ___________________________________________________________</w:t>
      </w: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CREDITS</w:t>
      </w:r>
    </w:p>
    <w:tbl>
      <w:tblPr>
        <w:tblW w:w="9167" w:type="dxa"/>
        <w:jc w:val="left"/>
        <w:tblInd w:w="4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5580"/>
        <w:gridCol w:w="356"/>
        <w:gridCol w:w="1804"/>
        <w:gridCol w:w="887"/>
      </w:tblGrid>
      <w:tr>
        <w:tblPrEx>
          <w:shd w:val="clear" w:color="auto" w:fill="ced7e7"/>
        </w:tblPrEx>
        <w:trPr>
          <w:trHeight w:val="31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Security Deposit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0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TOTAL CREDITS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378" w:hanging="378"/>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CHARGES</w:t>
      </w:r>
    </w:p>
    <w:tbl>
      <w:tblPr>
        <w:tblW w:w="9159" w:type="dxa"/>
        <w:jc w:val="left"/>
        <w:tblInd w:w="4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0"/>
        <w:gridCol w:w="5710"/>
        <w:gridCol w:w="356"/>
        <w:gridCol w:w="1853"/>
        <w:gridCol w:w="830"/>
      </w:tblGrid>
      <w:tr>
        <w:tblPrEx>
          <w:shd w:val="clear" w:color="auto" w:fill="ced7e7"/>
        </w:tblPrEx>
        <w:trPr>
          <w:trHeight w:val="31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Rental arrearage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5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 due for premature termination of the lease by the tenant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3.</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The tenant</w:t>
            </w:r>
            <w:r>
              <w:rPr>
                <w:rFonts w:ascii="Montserrat Regular" w:hAnsi="Montserrat Regular" w:hint="default"/>
                <w:sz w:val="22"/>
                <w:szCs w:val="22"/>
                <w:shd w:val="nil" w:color="auto" w:fill="auto"/>
                <w:rtl w:val="0"/>
                <w:lang w:val="en-US"/>
              </w:rPr>
              <w:t>’</w:t>
            </w:r>
            <w:r>
              <w:rPr>
                <w:rFonts w:ascii="Montserrat Regular" w:hAnsi="Montserrat Regular"/>
                <w:sz w:val="22"/>
                <w:szCs w:val="22"/>
                <w:shd w:val="nil" w:color="auto" w:fill="auto"/>
                <w:rtl w:val="0"/>
                <w:lang w:val="en-US"/>
              </w:rPr>
              <w:t>s utility bills not paid by the tenant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4.</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Damages to property and estimated cost of repair: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a.</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b.</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c.</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d.</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e.</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TOTAL CHARGES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378" w:hanging="378"/>
        <w:rPr>
          <w:rFonts w:ascii="Montserrat Regular" w:cs="Montserrat Regular" w:hAnsi="Montserrat Regular" w:eastAsia="Montserrat Regular"/>
          <w:sz w:val="22"/>
          <w:szCs w:val="22"/>
        </w:rPr>
      </w:pPr>
    </w:p>
    <w:p>
      <w:pPr>
        <w:pStyle w:val="Normal.0"/>
        <w:widowControl w:val="0"/>
        <w:ind w:left="270" w:hanging="27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rPr>
      </w:pPr>
      <w:r>
        <w:rPr>
          <w:rFonts w:ascii="Montserrat Regular" w:cs="Montserrat Regular" w:hAnsi="Montserrat Regular" w:eastAsia="Montserrat Regular"/>
          <w:sz w:val="22"/>
          <w:szCs w:val="22"/>
        </w:rPr>
        <w:tab/>
        <w:tab/>
        <w:tab/>
        <w:tab/>
        <w:tab/>
        <w:tab/>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AMOUNT OWED TO THE TENANT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(if charges are less than credits,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the tenant is entitled to receive this amount) </w:t>
        <w:tab/>
        <w:tab/>
        <w:tab/>
        <w:t xml:space="preserve">$ 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ADDITIONAL AMOUNT OWED TO THE LANDLORD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 xml:space="preserve">(if credits are less than charges, the tenant owes this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 xml:space="preserve">additional amount to the landlord) </w:t>
        <w:tab/>
        <w:tab/>
        <w:tab/>
        <w:tab/>
        <w:t>$ __________________</w:t>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8"/>
        </w:numPr>
        <w:bidi w:val="0"/>
        <w:ind w:right="0"/>
        <w:jc w:val="left"/>
        <w:rPr>
          <w:rtl w:val="0"/>
          <w:lang w:val="en-US"/>
        </w:rPr>
      </w:pPr>
      <w:r>
        <w:rPr>
          <w:rtl w:val="0"/>
          <w:lang w:val="en-US"/>
        </w:rPr>
        <w:t>Presence of lead-based paint and/or lead-based paint hazards (check (i) or (ii) below):</w:t>
      </w:r>
    </w:p>
    <w:p>
      <w:pPr>
        <w:pStyle w:val="List Paragraph"/>
        <w:widowControl w:val="1"/>
        <w:numPr>
          <w:ilvl w:val="2"/>
          <w:numId w:val="18"/>
        </w:numPr>
        <w:bidi w:val="0"/>
        <w:ind w:right="0"/>
        <w:jc w:val="left"/>
        <w:rPr>
          <w:rtl w:val="0"/>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8"/>
        </w:numPr>
        <w:bidi w:val="0"/>
        <w:ind w:right="0"/>
        <w:jc w:val="left"/>
        <w:rPr>
          <w:rtl w:val="0"/>
          <w:lang w:val="en-US"/>
        </w:rPr>
      </w:pPr>
      <w:r>
        <w:rPr>
          <w:rtl w:val="0"/>
          <w:lang w:val="en-US"/>
        </w:rPr>
        <w:t>_____ Lessor has no knowledge of lead-based paint and/or lead-based paint hazards in the housing.</w:t>
      </w:r>
    </w:p>
    <w:p>
      <w:pPr>
        <w:pStyle w:val="List Paragraph"/>
        <w:widowControl w:val="1"/>
        <w:numPr>
          <w:ilvl w:val="0"/>
          <w:numId w:val="18"/>
        </w:numPr>
        <w:bidi w:val="0"/>
        <w:ind w:right="0"/>
        <w:jc w:val="left"/>
        <w:rPr>
          <w:rtl w:val="0"/>
          <w:lang w:val="en-US"/>
        </w:rPr>
      </w:pPr>
      <w:r>
        <w:rPr>
          <w:rtl w:val="0"/>
          <w:lang w:val="en-US"/>
        </w:rPr>
        <w:t>Records and reports available to the lessor (check (i) or (ii) below):</w:t>
      </w:r>
    </w:p>
    <w:p>
      <w:pPr>
        <w:pStyle w:val="List Paragraph"/>
        <w:widowControl w:val="1"/>
        <w:numPr>
          <w:ilvl w:val="2"/>
          <w:numId w:val="18"/>
        </w:numPr>
        <w:bidi w:val="0"/>
        <w:ind w:right="0"/>
        <w:jc w:val="left"/>
        <w:rPr>
          <w:rtl w:val="0"/>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8"/>
        </w:numPr>
        <w:bidi w:val="0"/>
        <w:ind w:right="0"/>
        <w:jc w:val="left"/>
        <w:rPr>
          <w:rtl w:val="0"/>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8"/>
        </w:numPr>
        <w:bidi w:val="0"/>
        <w:ind w:right="0"/>
        <w:jc w:val="left"/>
        <w:rPr>
          <w:rtl w:val="0"/>
          <w:lang w:val="en-US"/>
        </w:rPr>
      </w:pPr>
      <w:r>
        <w:rPr>
          <w:rtl w:val="0"/>
          <w:lang w:val="en-US"/>
        </w:rPr>
        <w:t>________ Lessee has received copies of all information listed above.</w:t>
      </w:r>
    </w:p>
    <w:p>
      <w:pPr>
        <w:pStyle w:val="List Paragraph"/>
        <w:widowControl w:val="1"/>
        <w:numPr>
          <w:ilvl w:val="0"/>
          <w:numId w:val="18"/>
        </w:numPr>
        <w:bidi w:val="0"/>
        <w:ind w:right="0"/>
        <w:jc w:val="left"/>
        <w:rPr>
          <w:rtl w:val="0"/>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8"/>
        </w:numPr>
        <w:bidi w:val="0"/>
        <w:ind w:right="0"/>
        <w:jc w:val="left"/>
        <w:rPr>
          <w:rtl w:val="0"/>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Montserrat Regular" w:hAnsi="Montserrat Regular"/>
        <w:sz w:val="18"/>
        <w:szCs w:val="18"/>
      </w:rPr>
      <w:fldChar w:fldCharType="begin" w:fldLock="0"/>
    </w:r>
    <w:r>
      <w:rPr>
        <w:rFonts w:ascii="Montserrat Regular" w:hAnsi="Montserrat Regular"/>
        <w:sz w:val="18"/>
        <w:szCs w:val="18"/>
      </w:rPr>
      <w:instrText xml:space="preserve"> PAGE </w:instrText>
    </w:r>
    <w:r>
      <w:rPr>
        <w:rFonts w:ascii="Montserrat Regular" w:hAnsi="Montserrat Regular"/>
        <w:sz w:val="18"/>
        <w:szCs w:val="18"/>
      </w:rPr>
      <w:fldChar w:fldCharType="separate" w:fldLock="0"/>
    </w:r>
    <w:r>
      <w:rPr>
        <w:rFonts w:ascii="Montserrat Regular" w:hAnsi="Montserrat Regular"/>
        <w:sz w:val="18"/>
        <w:szCs w:val="18"/>
      </w:rPr>
    </w:r>
    <w:r>
      <w:rPr>
        <w:rFonts w:ascii="Montserrat Regular" w:hAnsi="Montserrat Regular"/>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0"/>
  </w:abstractNum>
  <w:abstractNum w:abstractNumId="7">
    <w:multiLevelType w:val="hybridMultilevel"/>
    <w:styleLink w:val="Imported Style 3.0"/>
    <w:lvl w:ilvl="0">
      <w:start w:val="1"/>
      <w:numFmt w:val="bullet"/>
      <w:suff w:val="tab"/>
      <w:lvlText w:val=""/>
      <w:lvlJc w:val="left"/>
      <w:pPr>
        <w:ind w:left="30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4"/>
    <w:lvlOverride w:ilvl="0">
      <w:startOverride w:val="2"/>
    </w:lvlOverride>
  </w:num>
  <w:num w:numId="10">
    <w:abstractNumId w:val="9"/>
  </w:num>
  <w:num w:numId="11">
    <w:abstractNumId w:val="8"/>
  </w:num>
  <w:num w:numId="12">
    <w:abstractNumId w:val="11"/>
  </w:num>
  <w:num w:numId="13">
    <w:abstractNumId w:val="10"/>
  </w:num>
  <w:num w:numId="14">
    <w:abstractNumId w:val="10"/>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12"/>
  </w:num>
  <w:num w:numId="17">
    <w:abstractNumId w:val="15"/>
  </w:num>
  <w:num w:numId="18">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3.0">
    <w:name w:val="Imported Style 3.0"/>
    <w:pPr>
      <w:numPr>
        <w:numId w:val="7"/>
      </w:numPr>
    </w:pPr>
  </w:style>
  <w:style w:type="numbering" w:styleId="Imported Style 4">
    <w:name w:val="Imported Style 4"/>
    <w:pPr>
      <w:numPr>
        <w:numId w:val="10"/>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12"/>
      </w:numPr>
    </w:pPr>
  </w:style>
  <w:style w:type="numbering" w:styleId="Imported Style 6">
    <w:name w:val="Imported Style 6"/>
    <w:pPr>
      <w:numPr>
        <w:numId w:val="15"/>
      </w:numPr>
    </w:pPr>
  </w:style>
  <w:style w:type="numbering" w:styleId="Imported Style 7">
    <w:name w:val="Imported Style 7"/>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