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California</w:t>
      </w:r>
      <w:r>
        <w:rPr>
          <w:spacing w:val="-7"/>
        </w:rPr>
        <w:t> </w:t>
      </w:r>
      <w:r>
        <w:rPr/>
        <w:t>60</w:t>
      </w:r>
      <w:r>
        <w:rPr>
          <w:spacing w:val="-5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 w:before="1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101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5"/>
        </w:rPr>
      </w:pPr>
      <w:r>
        <w:rPr/>
        <w:pict>
          <v:shape style="position:absolute;margin-left:72pt;margin-top:15.681211pt;width:462.65pt;height:.1pt;mso-position-horizontal-relative:page;mso-position-vertical-relative:paragraph;z-index:-15726080;mso-wrap-distance-left:0;mso-wrap-distance-right:0" id="docshape6" coordorigin="1440,314" coordsize="9253,0" path="m1440,314l10692,314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i/>
          <w:sz w:val="17"/>
        </w:rPr>
      </w:pPr>
    </w:p>
    <w:p>
      <w:pPr>
        <w:spacing w:before="100"/>
        <w:ind w:left="100" w:right="101" w:firstLine="0"/>
        <w:jc w:val="left"/>
        <w:rPr>
          <w:rFonts w:ascii="Verdana" w:hAnsi="Verdana"/>
          <w:i/>
          <w:sz w:val="24"/>
        </w:rPr>
      </w:pPr>
      <w:r>
        <w:rPr>
          <w:rFonts w:ascii="Verdana" w:hAnsi="Verdana"/>
          <w:i/>
          <w:color w:val="333333"/>
          <w:sz w:val="24"/>
        </w:rPr>
        <w:t>“State law permits former tenants to reclaim abandoned personal property</w:t>
      </w:r>
      <w:r>
        <w:rPr>
          <w:rFonts w:ascii="Verdana" w:hAnsi="Verdana"/>
          <w:i/>
          <w:color w:val="333333"/>
          <w:sz w:val="24"/>
        </w:rPr>
        <w:t> left at the former address of the tenant, subject to certain conditions. You may or may not be able to reclaim property without incurring additional costs,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depending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on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the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cost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of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storing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the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property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and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the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length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of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time before it is reclaimed. In general, these costs will be lower the sooner you contact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your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former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landlord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after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being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notified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that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property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belonging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to you was left behind after you moved out.”</w:t>
      </w:r>
    </w:p>
    <w:p>
      <w:pPr>
        <w:spacing w:after="0"/>
        <w:jc w:val="left"/>
        <w:rPr>
          <w:rFonts w:ascii="Verdana" w:hAnsi="Verdana"/>
          <w:sz w:val="24"/>
        </w:rPr>
        <w:sectPr>
          <w:type w:val="continuous"/>
          <w:pgSz w:w="12240" w:h="15840"/>
          <w:pgMar w:top="1620" w:bottom="280" w:left="1340" w:right="1320"/>
        </w:sectPr>
      </w:pPr>
    </w:p>
    <w:p>
      <w:pPr>
        <w:pStyle w:val="BodyText"/>
        <w:spacing w:line="20" w:lineRule="exact"/>
        <w:ind w:left="100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462.65pt;height:1.45pt;mso-position-horizontal-relative:char;mso-position-vertical-relative:line" id="docshapegroup7" coordorigin="0,0" coordsize="9253,29">
            <v:line style="position:absolute" from="0,14" to="9252,14" stroked="true" strokeweight="1.424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pStyle w:val="BodyText"/>
        <w:spacing w:before="3"/>
        <w:rPr>
          <w:rFonts w:ascii="Verdana"/>
          <w:i/>
          <w:sz w:val="17"/>
        </w:rPr>
      </w:pPr>
    </w:p>
    <w:p>
      <w:pPr>
        <w:spacing w:before="93"/>
        <w:ind w:left="2334" w:right="2351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9433" w:val="left" w:leader="none"/>
        </w:tabs>
        <w:spacing w:before="168"/>
        <w:ind w:left="100"/>
        <w:rPr>
          <w:rFonts w:ascii="Times New Roman" w:hAnsi="Times New Roman"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discretion: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2474" w:val="left" w:leader="none"/>
        </w:tabs>
        <w:spacing w:line="276" w:lineRule="auto" w:before="22"/>
        <w:ind w:left="100" w:right="800"/>
        <w:rPr>
          <w:b/>
        </w:rPr>
      </w:pP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 receipt; </w:t>
      </w:r>
      <w:r>
        <w:rPr>
          <w:b/>
        </w:rPr>
        <w:t>or</w:t>
      </w:r>
    </w:p>
    <w:p>
      <w:pPr>
        <w:pStyle w:val="BodyText"/>
        <w:spacing w:before="119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72pt;margin-top:16.754pt;width:171.2pt;height:.1pt;mso-position-horizontal-relative:page;mso-position-vertical-relative:paragraph;z-index:-15725056;mso-wrap-distance-left:0;mso-wrap-distance-right:0" id="docshape8" coordorigin="1440,335" coordsize="3424,0" path="m1440,335l4864,33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754pt;width:195.65pt;height:.1pt;mso-position-horizontal-relative:page;mso-position-vertical-relative:paragraph;z-index:-15724544;mso-wrap-distance-left:0;mso-wrap-distance-right:0" id="docshape9" coordorigin="6480,335" coordsize="3913,0" path="m6480,335l10393,33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pgSz w:w="12240" w:h="15840"/>
      <w:pgMar w:top="17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34" w:right="235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60 Day Notice to Vacate (From L to T)</dc:title>
  <dcterms:created xsi:type="dcterms:W3CDTF">2022-08-31T06:10:09Z</dcterms:created>
  <dcterms:modified xsi:type="dcterms:W3CDTF">2022-08-31T06:10:09Z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