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17"/>
        </w:rPr>
        <w:t> </w:t>
      </w:r>
      <w:r>
        <w:rPr/>
        <w:t>FIVE</w:t>
      </w:r>
      <w:r>
        <w:rPr>
          <w:spacing w:val="-14"/>
        </w:rPr>
        <w:t> </w:t>
      </w:r>
      <w:r>
        <w:rPr/>
        <w:t>(5)</w:t>
      </w:r>
      <w:r>
        <w:rPr>
          <w:spacing w:val="-14"/>
        </w:rPr>
        <w:t> </w:t>
      </w:r>
      <w:r>
        <w:rPr/>
        <w:t>DAY</w:t>
      </w:r>
      <w:r>
        <w:rPr>
          <w:spacing w:val="-18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6969" w:val="left" w:leader="none"/>
          <w:tab w:pos="944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3"/>
        </w:rPr>
        <w:t> </w:t>
      </w:r>
      <w:r>
        <w:rPr>
          <w:spacing w:val="-2"/>
        </w:rPr>
        <w:t>_</w:t>
      </w:r>
      <w:r>
        <w:rPr>
          <w:spacing w:val="-2"/>
          <w:u w:val="thick"/>
        </w:rPr>
        <w:t>Hawaii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3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33632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5"/>
        <w:rPr>
          <w:sz w:val="33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Hawaii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HI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521-</w:t>
        </w:r>
        <w:r>
          <w:rPr>
            <w:spacing w:val="-5"/>
          </w:rPr>
          <w:t>68</w:t>
        </w:r>
      </w:hyperlink>
      <w:r>
        <w:rPr>
          <w:spacing w:val="-5"/>
        </w:rPr>
        <w:t>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Hawaii</w:t>
      </w:r>
      <w:r>
        <w:rPr>
          <w:spacing w:val="-3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8" w:lineRule="auto"/>
        <w:ind w:left="1064" w:right="854" w:hanging="965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  <w:w w:val="150"/>
        </w:rPr>
        <w:t>  </w:t>
      </w:r>
      <w:r>
        <w:rPr/>
        <w:t>b) posting a copy of the Notice to Quit in a conspicuous location at the premises, 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Hawaii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Hawaii.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3"/>
      </w:pPr>
      <w:r>
        <w:rPr/>
        <w:pict>
          <v:shape style="position:absolute;margin-left:288pt;margin-top:14.047725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230" w:right="145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230" w:right="223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5 Day Notice to Quit (nonpayment of rent)</dc:title>
  <dcterms:created xsi:type="dcterms:W3CDTF">2022-09-09T11:37:14Z</dcterms:created>
  <dcterms:modified xsi:type="dcterms:W3CDTF">2022-09-09T11:37:14Z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