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UTAH</w:t>
      </w:r>
      <w:r>
        <w:rPr>
          <w:spacing w:val="-15"/>
        </w:rPr>
        <w:t> </w:t>
      </w:r>
      <w:r>
        <w:rPr/>
        <w:t>THREE</w:t>
      </w:r>
      <w:r>
        <w:rPr>
          <w:spacing w:val="-12"/>
        </w:rPr>
        <w:t> </w:t>
      </w:r>
      <w:r>
        <w:rPr/>
        <w:t>(3)</w:t>
      </w:r>
      <w:r>
        <w:rPr>
          <w:spacing w:val="-12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4818" w:val="left" w:leader="none"/>
          <w:tab w:pos="6126" w:val="left" w:leader="none"/>
          <w:tab w:pos="7018" w:val="left" w:leader="none"/>
          <w:tab w:pos="936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Utah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business days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5356" w:val="left" w:leader="none"/>
        </w:tabs>
        <w:spacing w:line="276" w:lineRule="auto" w:before="93"/>
        <w:ind w:left="100" w:right="346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(3)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 must vacate the premises by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Utah law.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3"/>
        </w:rPr>
        <w:t> </w:t>
      </w:r>
      <w:r>
        <w:rPr/>
        <w:t>Utah</w:t>
      </w:r>
      <w:r>
        <w:rPr>
          <w:spacing w:val="-4"/>
        </w:rPr>
        <w:t> </w:t>
      </w:r>
      <w:r>
        <w:rPr/>
        <w:t>Code</w:t>
      </w:r>
      <w:r>
        <w:rPr>
          <w:spacing w:val="-13"/>
        </w:rPr>
        <w:t> </w:t>
      </w:r>
      <w:r>
        <w:rPr/>
        <w:t>Ann.</w:t>
      </w:r>
      <w:r>
        <w:rPr>
          <w:spacing w:val="-4"/>
        </w:rPr>
        <w:t> </w:t>
      </w:r>
      <w:r>
        <w:rPr/>
        <w:t>§</w:t>
      </w:r>
      <w:r>
        <w:rPr>
          <w:spacing w:val="4"/>
        </w:rPr>
        <w:t> </w:t>
      </w:r>
      <w:r>
        <w:rPr/>
        <w:t>78B-6-</w:t>
      </w:r>
      <w:r>
        <w:rPr>
          <w:spacing w:val="-2"/>
        </w:rPr>
        <w:t>802(c).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35359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35359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Utah,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064" w:right="21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2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Utah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1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Utah.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2876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185" w:right="1407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85" w:right="218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3 Day Notice to Quit</dc:title>
  <dcterms:created xsi:type="dcterms:W3CDTF">2022-11-26T05:59:38Z</dcterms:created>
  <dcterms:modified xsi:type="dcterms:W3CDTF">2022-11-26T05:59:38Z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