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KANSAS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KANSAS</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Kansas.</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Move-In Checklist - </w:t>
      </w:r>
      <w:r>
        <w:rPr>
          <w:rtl w:val="0"/>
          <w:lang w:val="en-US"/>
        </w:rPr>
        <w:t>for all rental units in Kansas.</w:t>
      </w:r>
    </w:p>
    <w:p>
      <w:pPr>
        <w:pStyle w:val="List Paragraph"/>
        <w:widowControl w:val="1"/>
        <w:numPr>
          <w:ilvl w:val="0"/>
          <w:numId w:val="14"/>
        </w:numPr>
        <w:bidi w:val="0"/>
        <w:spacing w:line="276" w:lineRule="auto"/>
        <w:ind w:right="0"/>
        <w:jc w:val="left"/>
        <w:rPr>
          <w:rtl w:val="0"/>
          <w:lang w:val="en-US"/>
        </w:rPr>
      </w:pPr>
      <w:r>
        <w:rPr>
          <w:rtl w:val="0"/>
          <w:lang w:val="en-US"/>
        </w:rPr>
        <w:t xml:space="preserve">Lead Based Paint Disclosure - </w:t>
      </w:r>
      <w:r>
        <w:rPr>
          <w:rtl w:val="0"/>
          <w:lang w:val="en-US"/>
        </w:rPr>
        <w:t>for rental units built prior to 1978.</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KANSAS MOVE-IN CHECKLIST</w:t>
      </w:r>
    </w:p>
    <w:p>
      <w:pPr>
        <w:pStyle w:val="Normal.0"/>
        <w:jc w:val="center"/>
        <w:rP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are being provided with two copies of the Inventory Checklist. You should complete one checklist, noting the condition of the rental property, and return it to the landlord within 5 days after obtaining possession of the rental unit. You should keep the other copy for your records. You are also entitled to request and receive a copy of the last termination inventory checklist which shows what claims were chargeable to the last prior tenants. You must notify the landlord in writing within 5 days after you move of a forwarding address where you can be reached and where you will receive mail; otherwise your landlord shall be relieved of sending you an itemized list of damages and the penalties adherent to that failure.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STAIRWELL</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5 days from this date,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You must respond to this notice by mail within 5 days after receipt of same; otherwise you will forfeit the amount claimed for damages.</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