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DELAWARE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DELAWARE</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Delaware.</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 xml:space="preserve">Landlord-Tenant Code Summary </w:t>
      </w:r>
      <w:r>
        <w:rPr>
          <w:rtl w:val="0"/>
          <w:lang w:val="en-US"/>
        </w:rPr>
        <w:t>- for all rental units in Delaware.</w:t>
      </w:r>
    </w:p>
    <w:p>
      <w:pPr>
        <w:pStyle w:val="List Paragraph"/>
        <w:widowControl w:val="1"/>
        <w:numPr>
          <w:ilvl w:val="0"/>
          <w:numId w:val="15"/>
        </w:numPr>
        <w:bidi w:val="0"/>
        <w:spacing w:line="276" w:lineRule="auto"/>
        <w:ind w:right="0"/>
        <w:jc w:val="left"/>
        <w:rPr>
          <w:sz w:val="22"/>
          <w:szCs w:val="22"/>
          <w:rtl w:val="0"/>
          <w:lang w:val="en-US"/>
        </w:rPr>
      </w:pPr>
      <w:r>
        <w:rPr>
          <w:sz w:val="22"/>
          <w:szCs w:val="22"/>
          <w:rtl w:val="0"/>
          <w:lang w:val="en-US"/>
        </w:rPr>
        <w:t>Lead Based Paint Disclosure</w:t>
      </w:r>
      <w:r>
        <w:rPr>
          <w:sz w:val="22"/>
          <w:szCs w:val="22"/>
          <w:rtl w:val="0"/>
          <w:lang w:val="en-US"/>
        </w:rPr>
        <w:t xml:space="preserve"> - for rental units built prior to 1978.</w:t>
      </w:r>
    </w:p>
    <w:p>
      <w:pPr>
        <w:pStyle w:val="List Paragraph"/>
        <w:widowControl w:val="1"/>
        <w:spacing w:line="276" w:lineRule="auto"/>
        <w:ind w:left="479" w:firstLine="0"/>
      </w:pPr>
    </w:p>
    <w:p>
      <w:pPr>
        <w:pStyle w:val="List Paragraph"/>
        <w:widowControl w:val="1"/>
        <w:spacing w:line="276" w:lineRule="auto"/>
        <w:ind w:left="479" w:firstLine="0"/>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pPr>
    </w:p>
    <w:p>
      <w:pPr>
        <w:pStyle w:val="List Paragraph"/>
        <w:widowControl w:val="1"/>
        <w:spacing w:line="276" w:lineRule="auto"/>
        <w:ind w:left="479" w:firstLine="0"/>
        <w:jc w:val="center"/>
        <w:rPr>
          <w:sz w:val="28"/>
          <w:szCs w:val="28"/>
        </w:rPr>
      </w:pPr>
      <w:r>
        <w:rPr>
          <w:sz w:val="28"/>
          <w:szCs w:val="28"/>
          <w:rtl w:val="0"/>
          <w:lang w:val="en-US"/>
        </w:rPr>
        <w:t>DISCLOSURE OF INFORMATION ON LANDLORD-TENANT CODE</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Delaware Residential Landlord-Tenant Code Summary will tell you about the most common laws concerning your rights and responsibilities as a tenant. The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most important law to know about is the Residential Landlord-Tenant Code, Chapters 51, 53, 55, 57 and 59 of Title 25 that can also be found in its entirety online at: http://www.delcode.delaware.gov/title25/c053/index.shtml.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ACKNOWLEDGEMENT:</w:t>
      </w:r>
      <w:r>
        <w:rPr>
          <w:rFonts w:ascii="Montserrat Regular" w:hAnsi="Montserrat Regular"/>
          <w:sz w:val="22"/>
          <w:szCs w:val="22"/>
          <w:rtl w:val="0"/>
          <w:lang w:val="en-US"/>
        </w:rPr>
        <w:t xml:space="preserve"> (initial)</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________ Tenant has received a </w:t>
      </w:r>
      <w:r>
        <w:rPr>
          <w:rFonts w:ascii="Montserrat Regular" w:hAnsi="Montserrat Regular"/>
          <w:sz w:val="22"/>
          <w:szCs w:val="22"/>
          <w:rtl w:val="0"/>
          <w:lang w:val="en-US"/>
        </w:rPr>
        <w:t>Summary of the Delaware Residential Landlord-Tenant Code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outline w:val="0"/>
          <w:color w:val="000000"/>
          <w:sz w:val="18"/>
          <w:szCs w:val="18"/>
          <w:u w:color="000000"/>
          <w14:textFill>
            <w14:solidFill>
              <w14:srgbClr w14:val="000000"/>
            </w14:solidFill>
          </w14:textFill>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7"/>
        </w:numPr>
        <w:rPr>
          <w:lang w:val="en-US"/>
        </w:rPr>
      </w:pPr>
      <w:r>
        <w:rPr>
          <w:rtl w:val="0"/>
          <w:lang w:val="en-US"/>
        </w:rPr>
        <w:t>Presence of lead-based paint and/or lead-based paint hazards (check (i) or (ii) below):</w:t>
      </w:r>
    </w:p>
    <w:p>
      <w:pPr>
        <w:pStyle w:val="List Paragraph"/>
        <w:widowControl w:val="1"/>
        <w:numPr>
          <w:ilvl w:val="2"/>
          <w:numId w:val="17"/>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knowledge of lead-based paint and/or lead-based paint hazards in the housing.</w:t>
      </w:r>
    </w:p>
    <w:p>
      <w:pPr>
        <w:pStyle w:val="List Paragraph"/>
        <w:widowControl w:val="1"/>
        <w:numPr>
          <w:ilvl w:val="0"/>
          <w:numId w:val="17"/>
        </w:numPr>
        <w:rPr>
          <w:lang w:val="en-US"/>
        </w:rPr>
      </w:pPr>
      <w:r>
        <w:rPr>
          <w:rtl w:val="0"/>
          <w:lang w:val="en-US"/>
        </w:rPr>
        <w:t>Records and reports available to the lessor (check (i) or (ii) below):</w:t>
      </w:r>
    </w:p>
    <w:p>
      <w:pPr>
        <w:pStyle w:val="List Paragraph"/>
        <w:widowControl w:val="1"/>
        <w:numPr>
          <w:ilvl w:val="2"/>
          <w:numId w:val="17"/>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7"/>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Lessee has received copies of all information listed above.</w:t>
      </w:r>
    </w:p>
    <w:p>
      <w:pPr>
        <w:pStyle w:val="List Paragraph"/>
        <w:widowControl w:val="1"/>
        <w:numPr>
          <w:ilvl w:val="0"/>
          <w:numId w:val="17"/>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7"/>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lowerRoman"/>
        <w:suff w:val="tab"/>
        <w:lvlText w:val="%3."/>
        <w:lvlJc w:val="left"/>
        <w:pPr>
          <w:ind w:left="2160" w:hanging="33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lowerRoman"/>
        <w:suff w:val="tab"/>
        <w:lvlText w:val="%6."/>
        <w:lvlJc w:val="left"/>
        <w:pPr>
          <w:ind w:left="4320" w:hanging="33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lowerRoman"/>
        <w:suff w:val="tab"/>
        <w:lvlText w:val="%9."/>
        <w:lvlJc w:val="left"/>
        <w:pPr>
          <w:ind w:left="6480" w:hanging="33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